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2017 Seattle Human Rights Commission Workplan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Co-Chairs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   </w:t>
        <w:tab/>
        <w:t xml:space="preserve">Pauline Alvarado, Jeremy Wood, Marcel Baugh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Secretary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   </w:t>
        <w:tab/>
        <w:t xml:space="preserve">William Dow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Commissioners: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Appeals Coordinator(s):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Lara Diaconu 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Interns:       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TBD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Staff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            </w:t>
        <w:tab/>
        <w:t xml:space="preserve">Marta Idowu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Standing Committees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     </w:t>
        <w:tab/>
        <w:t xml:space="preserve">Executive Committee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Partnership Committee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Commissioner Development Committee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Ad Hoc Committees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           </w:t>
        <w:tab/>
        <w:t xml:space="preserve">Bylaws Review Committee</w:t>
      </w:r>
    </w:p>
    <w:p w:rsidR="00000000" w:rsidDel="00000000" w:rsidP="00000000" w:rsidRDefault="00000000" w:rsidRPr="00000000">
      <w:pPr>
        <w:pBdr/>
        <w:ind w:left="2880"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Human Rights Day Planning Committee (2017)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</w:t>
        <w:tab/>
        <w:t xml:space="preserve">          </w:t>
        <w:tab/>
        <w:t xml:space="preserve">          </w:t>
        <w:tab/>
        <w:t xml:space="preserve">Retreat Planning Committee (2017)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tbl>
      <w:tblPr>
        <w:tblStyle w:val="Table1"/>
        <w:bidiVisual w:val="0"/>
        <w:tblW w:w="139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c>
          <w:tcPr>
            <w:tcBorders>
              <w:top w:color="5b9bd5" w:space="0" w:sz="8" w:val="single"/>
              <w:bottom w:color="5b9bd5" w:space="0" w:sz="8" w:val="single"/>
            </w:tcBorders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Advocate Against the School to Confinement Pipeline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Guiding Human Rights Instruments: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Universal Declaration of Human Rights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International Covenant on Economic, Social, and Cultural Rights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International Convention on the Elimination of All Forms of Racial Discrimination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hd w:fill="bdd6ee" w:val="clear"/>
                <w:rtl w:val="0"/>
              </w:rPr>
              <w:t xml:space="preserve">Key Steps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Collaborate/partner with organizations and individuals who are involved with ending youth confinement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Educate the public about impact of confinement and its collateral consequences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Support culturally responsive behavioral interventions (restorative justice?)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Support SPS in analyzing current disciplinary processes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Support the implementation of undoing institutionalized racism curriculum in Seattle Public Schools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</w:t>
      </w:r>
    </w:p>
    <w:tbl>
      <w:tblPr>
        <w:tblStyle w:val="Table2"/>
        <w:bidiVisual w:val="0"/>
        <w:tblW w:w="13905.0" w:type="dxa"/>
        <w:jc w:val="left"/>
        <w:tblInd w:w="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05"/>
        <w:tblGridChange w:id="0">
          <w:tblGrid>
            <w:gridCol w:w="13905"/>
          </w:tblGrid>
        </w:tblGridChange>
      </w:tblGrid>
      <w:tr>
        <w:tc>
          <w:tcPr>
            <w:tcBorders>
              <w:top w:color="5b9bd5" w:space="0" w:sz="8" w:val="single"/>
              <w:bottom w:color="5b9bd5" w:space="0" w:sz="8" w:val="single"/>
            </w:tcBorders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Support Seattle Police Reform -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Guiding Human Rights Instruments: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Universal Declaration of Human Rights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International Covenant on Civil and Political Rights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hd w:fill="bdd6ee" w:val="clear"/>
                <w:rtl w:val="0"/>
              </w:rPr>
              <w:t xml:space="preserve">Key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Collaborate with organization and individuals, stakeholders involved, Police depts, in the police reform process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Require community favorable attitudes and practices in police recruitment and training.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Recognize police officers who are modeling community-based policing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3845.0" w:type="dxa"/>
        <w:jc w:val="left"/>
        <w:tblInd w:w="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845"/>
        <w:tblGridChange w:id="0">
          <w:tblGrid>
            <w:gridCol w:w="13845"/>
          </w:tblGrid>
        </w:tblGridChange>
      </w:tblGrid>
      <w:tr>
        <w:tc>
          <w:tcPr>
            <w:tcBorders>
              <w:top w:color="5b9bd5" w:space="0" w:sz="8" w:val="single"/>
              <w:bottom w:color="5b9bd5" w:space="0" w:sz="8" w:val="single"/>
            </w:tcBorders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Support Immigration Justice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Guiding Human Rights Instruments: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Universal Declaration of Human Rights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International Covenant on Civil and Political Rights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hd w:fill="bdd6ee" w:val="clear"/>
                <w:rtl w:val="0"/>
              </w:rPr>
              <w:t xml:space="preserve">Key Steps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Divest from companies involved in border/immigration enforcement.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Pass court rules to bar use of immigration status in civil litigation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Preserve access and security of undocumented people using government resources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Collaborate with faith communities to support sanctuary policies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Support know your rights education and pro bono legal services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Advocate for negatively affected individuals/communities by speaking out on individual enforcement cases.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13830.0" w:type="dxa"/>
        <w:jc w:val="left"/>
        <w:tblInd w:w="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830"/>
        <w:tblGridChange w:id="0">
          <w:tblGrid>
            <w:gridCol w:w="13830"/>
          </w:tblGrid>
        </w:tblGridChange>
      </w:tblGrid>
      <w:tr>
        <w:tc>
          <w:tcPr>
            <w:tcBorders>
              <w:top w:color="5b9bd5" w:space="0" w:sz="8" w:val="single"/>
              <w:bottom w:color="5b9bd5" w:space="0" w:sz="8" w:val="single"/>
            </w:tcBorders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Confront Islamophobia, Antisemitism, and other Xenophobia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Guiding Human Rights Instruments: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Universal Declaration of Human Rights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International Covenant on Civil and Political Rights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hd w:fill="bdd6ee" w:val="clear"/>
                <w:rtl w:val="0"/>
              </w:rPr>
              <w:t xml:space="preserve">Key Steps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Monitor and speak out on human rights violations resulting from individual incidents of hate and bias.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Support SOCR/City programs and services to respond appropriately and equitably to incidents. 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Associate with community-based groups to gauge grassroots concerns and needs that empower proactivity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Advocate for City-wide audit of all municipal departments hate crime response policies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13845.0" w:type="dxa"/>
        <w:jc w:val="left"/>
        <w:tblInd w:w="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845"/>
        <w:tblGridChange w:id="0">
          <w:tblGrid>
            <w:gridCol w:w="13845"/>
          </w:tblGrid>
        </w:tblGridChange>
      </w:tblGrid>
      <w:tr>
        <w:tc>
          <w:tcPr>
            <w:tcBorders>
              <w:top w:color="5b9bd5" w:space="0" w:sz="8" w:val="single"/>
              <w:bottom w:color="5b9bd5" w:space="0" w:sz="8" w:val="single"/>
            </w:tcBorders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Promote Adequate and Affordable Housing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Guiding Human Rights Instruments: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Universal Declaration of Human Rights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International Covenant on Civil and Political Rights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hd w:fill="bdd6ee" w:val="clear"/>
                <w:rtl w:val="0"/>
              </w:rPr>
              <w:t xml:space="preserve">Key Steps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Support enforcement of Source of Income legislation</w:t>
            </w:r>
          </w:p>
          <w:p w:rsidR="00000000" w:rsidDel="00000000" w:rsidP="00000000" w:rsidRDefault="00000000" w:rsidRPr="00000000">
            <w:pPr>
              <w:numPr>
                <w:ilvl w:val="1"/>
                <w:numId w:val="1"/>
              </w:numPr>
              <w:pBdr/>
              <w:ind w:left="1440" w:hanging="360"/>
              <w:contextualSpacing w:val="1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Provide feedback by end of 2017 regarding statistics from SOCR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Advocate for increased affordable housing for low-to-middle income individuals</w:t>
            </w:r>
          </w:p>
          <w:p w:rsidR="00000000" w:rsidDel="00000000" w:rsidP="00000000" w:rsidRDefault="00000000" w:rsidRPr="00000000">
            <w:pPr>
              <w:numPr>
                <w:ilvl w:val="1"/>
                <w:numId w:val="2"/>
              </w:numPr>
              <w:pBdr/>
              <w:ind w:left="1440" w:hanging="360"/>
              <w:contextualSpacing w:val="1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Increasingly support for increased mandatory affordable housing during upzone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331.2" w:lineRule="auto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Collaborate with the Renters’ Commission and other organizations that support tenants (HJP, Tenants Union, DESC) on maintaining and expanding the city’s affordable housing stock in a fair and humane manner.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0"/>
        <w:tblW w:w="13800.0" w:type="dxa"/>
        <w:jc w:val="left"/>
        <w:tblInd w:w="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800"/>
        <w:tblGridChange w:id="0">
          <w:tblGrid>
            <w:gridCol w:w="13800"/>
          </w:tblGrid>
        </w:tblGridChange>
      </w:tblGrid>
      <w:tr>
        <w:tc>
          <w:tcPr>
            <w:tcBorders>
              <w:top w:color="5b9bd5" w:space="0" w:sz="8" w:val="single"/>
              <w:bottom w:color="5b9bd5" w:space="0" w:sz="8" w:val="single"/>
            </w:tcBorders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Promote Workers’ Rights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Guiding Human Rights Instruments: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Universal Declaration of Human Rights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International Covenant on Civil and Political Rights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hd w:fill="bdd6ee" w:val="clear"/>
                <w:rtl w:val="0"/>
              </w:rPr>
              <w:t xml:space="preserve">Key Steps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Monitor secure scheduling implementation and enforcement in collaboration with OLS.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Advocate for increased access to retirement savings accounts for Seattle workers without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0"/>
        <w:tblW w:w="13770.0" w:type="dxa"/>
        <w:jc w:val="left"/>
        <w:tblInd w:w="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770"/>
        <w:tblGridChange w:id="0">
          <w:tblGrid>
            <w:gridCol w:w="13770"/>
          </w:tblGrid>
        </w:tblGridChange>
      </w:tblGrid>
      <w:tr>
        <w:tc>
          <w:tcPr>
            <w:tcBorders>
              <w:top w:color="5b9bd5" w:space="0" w:sz="8" w:val="single"/>
              <w:bottom w:color="5b9bd5" w:space="0" w:sz="8" w:val="single"/>
            </w:tcBorders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Promote the Rights, Dignity, and Advancement of Unsheltered People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Guiding Human Rights Instruments: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Universal Declaration of Human Rights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International Covenant on Civil and Political Rights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hd w:fill="bdd6ee" w:val="clear"/>
                <w:rtl w:val="0"/>
              </w:rPr>
              <w:t xml:space="preserve">Key Steps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Support increased availability of shelter, including authorized and unauthorized encampments.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Advocate for creative methods of housing unsheltered individuals.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Advocate for universal access to hygiene centers, wellness centers, and locations to dispose of sharps.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Advocate for immigration service access for unsheltered individuals.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Support implementation of safe consumption sites and educate public on their importance.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Release statement on one night count emphasizing emergency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Ensure equitable implementation of the Barbara Poppe report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0"/>
        <w:tblW w:w="13740.0" w:type="dxa"/>
        <w:jc w:val="left"/>
        <w:tblInd w:w="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740"/>
        <w:tblGridChange w:id="0">
          <w:tblGrid>
            <w:gridCol w:w="13740"/>
          </w:tblGrid>
        </w:tblGridChange>
      </w:tblGrid>
      <w:tr>
        <w:tc>
          <w:tcPr>
            <w:tcBorders>
              <w:top w:color="5b9bd5" w:space="0" w:sz="8" w:val="single"/>
              <w:bottom w:color="5b9bd5" w:space="0" w:sz="8" w:val="single"/>
            </w:tcBorders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Advocate for an Equitable Taxation System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Guiding Human Rights Instruments: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Universal Declaration of Human Rights</w:t>
            </w:r>
          </w:p>
          <w:p w:rsidR="00000000" w:rsidDel="00000000" w:rsidP="00000000" w:rsidRDefault="00000000" w:rsidRPr="00000000">
            <w:pPr>
              <w:pBdr/>
              <w:ind w:left="-100" w:firstLine="0"/>
              <w:contextualSpacing w:val="0"/>
              <w:jc w:val="center"/>
              <w:rPr>
                <w:rFonts w:ascii="Cambria" w:cs="Cambria" w:eastAsia="Cambria" w:hAnsi="Cambria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bdd6ee" w:val="clear"/>
                <w:rtl w:val="0"/>
              </w:rPr>
              <w:t xml:space="preserve">International Covenant on Civil and Political Rights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hd w:fill="bdd6ee" w:val="clear"/>
                <w:rtl w:val="0"/>
              </w:rPr>
              <w:t xml:space="preserve">Key Steps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Support community efforts to pass a high-income City income tax.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Advocate against measures or proposals that will increase the tax burden on our city’s poorest members.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0"/>
        <w:tblW w:w="136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695"/>
        <w:tblGridChange w:id="0">
          <w:tblGrid>
            <w:gridCol w:w="13695"/>
          </w:tblGrid>
        </w:tblGridChange>
      </w:tblGrid>
      <w:tr>
        <w:tc>
          <w:tcPr>
            <w:tcBorders>
              <w:top w:color="5b9bd5" w:space="0" w:sz="8" w:val="single"/>
              <w:bottom w:color="5b9bd5" w:space="0" w:sz="8" w:val="single"/>
            </w:tcBorders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shd w:fill="bdd6ee" w:val="clear"/>
                <w:rtl w:val="0"/>
              </w:rPr>
              <w:t xml:space="preserve">Standing Committees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Executive Committee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Marcel Baugh, Pauline Alvarado, William Dow, Jeremy Wood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Appeals Coordinator</w:t>
            </w:r>
          </w:p>
        </w:tc>
      </w:tr>
      <w:tr>
        <w:tc>
          <w:tcPr>
            <w:tcBorders>
              <w:bottom w:color="5b9bd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Lara Diaconu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0"/>
        <w:tblW w:w="136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695"/>
        <w:tblGridChange w:id="0">
          <w:tblGrid>
            <w:gridCol w:w="13695"/>
          </w:tblGrid>
        </w:tblGridChange>
      </w:tblGrid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Human Rights Day Planning Committee</w:t>
            </w:r>
          </w:p>
        </w:tc>
      </w:tr>
      <w:tr>
        <w:trPr>
          <w:trHeight w:val="4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TBD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0"/>
        <w:tblW w:w="136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695"/>
        <w:tblGridChange w:id="0">
          <w:tblGrid>
            <w:gridCol w:w="13695"/>
          </w:tblGrid>
        </w:tblGridChange>
      </w:tblGrid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Commission Development Committee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Ashley Miller, Amy Huang, Danielle Wallace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Partnership Committee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TBD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0"/>
        <w:tblW w:w="137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740"/>
        <w:tblGridChange w:id="0">
          <w:tblGrid>
            <w:gridCol w:w="13740"/>
          </w:tblGrid>
        </w:tblGridChange>
      </w:tblGrid>
      <w:tr>
        <w:tc>
          <w:tcPr>
            <w:tcBorders>
              <w:top w:color="5b9bd5" w:space="0" w:sz="8" w:val="single"/>
              <w:bottom w:color="5b9bd5" w:space="0" w:sz="8" w:val="single"/>
            </w:tcBorders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shd w:fill="bdd6ee" w:val="clear"/>
                <w:rtl w:val="0"/>
              </w:rPr>
              <w:t xml:space="preserve">Ad Hoc Committees</w:t>
            </w:r>
          </w:p>
        </w:tc>
      </w:tr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Bylaws Review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Committee</w:t>
            </w:r>
          </w:p>
        </w:tc>
      </w:tr>
      <w:tr>
        <w:tc>
          <w:tcPr>
            <w:tcBorders>
              <w:bottom w:color="5b9bd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TBD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0"/>
        <w:tblW w:w="136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665"/>
        <w:tblGridChange w:id="0">
          <w:tblGrid>
            <w:gridCol w:w="13665"/>
          </w:tblGrid>
        </w:tblGridChange>
      </w:tblGrid>
      <w:tr>
        <w:tc>
          <w:tcPr>
            <w:shd w:fill="bdd6e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shd w:fill="bdd6ee" w:val="clear"/>
                <w:rtl w:val="0"/>
              </w:rPr>
              <w:t xml:space="preserve">Retreat Planning Committee</w:t>
            </w:r>
          </w:p>
        </w:tc>
      </w:tr>
      <w:tr>
        <w:tc>
          <w:tcPr>
            <w:tcBorders>
              <w:bottom w:color="5b9bd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TBD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pBdr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This workplan incorporates policy goals from the 2016 Seattle Human Rights Commission Workplan, to the extent projects begun in 2016 and associated with those goals continue into 2017.  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