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D0" w:rsidRPr="00B257FA" w:rsidRDefault="004C777A" w:rsidP="002C43ED">
      <w:pPr>
        <w:pStyle w:val="Heading2"/>
        <w:jc w:val="center"/>
        <w:rPr>
          <w:b/>
          <w:color w:val="auto"/>
        </w:rPr>
      </w:pPr>
      <w:r w:rsidRPr="00B257FA">
        <w:rPr>
          <w:b/>
          <w:color w:val="auto"/>
        </w:rPr>
        <w:t>Excess Property Description</w:t>
      </w:r>
    </w:p>
    <w:p w:rsidR="002C43ED" w:rsidRDefault="002C43ED" w:rsidP="00923744">
      <w:pPr>
        <w:rPr>
          <w:b/>
        </w:rPr>
      </w:pPr>
    </w:p>
    <w:p w:rsidR="00923744" w:rsidRDefault="00923744" w:rsidP="00923744">
      <w:r w:rsidRPr="00F6791A">
        <w:rPr>
          <w:b/>
        </w:rPr>
        <w:t>Property Name:</w:t>
      </w:r>
      <w:r w:rsidR="00F6791A">
        <w:rPr>
          <w:b/>
        </w:rPr>
        <w:tab/>
      </w:r>
      <w:r>
        <w:t>1429 South Jackson Street</w:t>
      </w:r>
    </w:p>
    <w:tbl>
      <w:tblPr>
        <w:tblStyle w:val="TableGrid"/>
        <w:tblW w:w="0" w:type="auto"/>
        <w:jc w:val="center"/>
        <w:tblLook w:val="04A0" w:firstRow="1" w:lastRow="0" w:firstColumn="1" w:lastColumn="0" w:noHBand="0" w:noVBand="1"/>
      </w:tblPr>
      <w:tblGrid>
        <w:gridCol w:w="659"/>
        <w:gridCol w:w="722"/>
        <w:gridCol w:w="1440"/>
        <w:gridCol w:w="1620"/>
        <w:gridCol w:w="1080"/>
        <w:gridCol w:w="1536"/>
      </w:tblGrid>
      <w:tr w:rsidR="00923744" w:rsidTr="002C43ED">
        <w:trPr>
          <w:jc w:val="center"/>
        </w:trPr>
        <w:tc>
          <w:tcPr>
            <w:tcW w:w="646" w:type="dxa"/>
          </w:tcPr>
          <w:p w:rsidR="00923744" w:rsidRPr="000D4182" w:rsidRDefault="00923744" w:rsidP="002C43ED">
            <w:pPr>
              <w:jc w:val="center"/>
              <w:rPr>
                <w:b/>
              </w:rPr>
            </w:pPr>
            <w:r w:rsidRPr="000D4182">
              <w:rPr>
                <w:b/>
              </w:rPr>
              <w:t>PMA</w:t>
            </w:r>
          </w:p>
        </w:tc>
        <w:tc>
          <w:tcPr>
            <w:tcW w:w="722" w:type="dxa"/>
          </w:tcPr>
          <w:p w:rsidR="00923744" w:rsidRPr="000D4182" w:rsidRDefault="002C43ED" w:rsidP="002C43ED">
            <w:pPr>
              <w:jc w:val="center"/>
              <w:rPr>
                <w:b/>
              </w:rPr>
            </w:pPr>
            <w:r w:rsidRPr="000D4182">
              <w:rPr>
                <w:b/>
              </w:rPr>
              <w:t>Size</w:t>
            </w:r>
          </w:p>
        </w:tc>
        <w:tc>
          <w:tcPr>
            <w:tcW w:w="1440" w:type="dxa"/>
          </w:tcPr>
          <w:p w:rsidR="00923744" w:rsidRPr="000D4182" w:rsidRDefault="00923744" w:rsidP="002C43ED">
            <w:pPr>
              <w:jc w:val="center"/>
              <w:rPr>
                <w:b/>
              </w:rPr>
            </w:pPr>
            <w:r w:rsidRPr="000D4182">
              <w:rPr>
                <w:b/>
              </w:rPr>
              <w:t>Parcel No.</w:t>
            </w:r>
          </w:p>
        </w:tc>
        <w:tc>
          <w:tcPr>
            <w:tcW w:w="1620" w:type="dxa"/>
          </w:tcPr>
          <w:p w:rsidR="00923744" w:rsidRPr="000D4182" w:rsidRDefault="002C43ED" w:rsidP="002C43ED">
            <w:pPr>
              <w:jc w:val="center"/>
              <w:rPr>
                <w:b/>
              </w:rPr>
            </w:pPr>
            <w:r w:rsidRPr="000D4182">
              <w:rPr>
                <w:b/>
              </w:rPr>
              <w:t>Zoning</w:t>
            </w:r>
          </w:p>
        </w:tc>
        <w:tc>
          <w:tcPr>
            <w:tcW w:w="1080" w:type="dxa"/>
          </w:tcPr>
          <w:p w:rsidR="00923744" w:rsidRPr="000D4182" w:rsidRDefault="002C43ED" w:rsidP="002C43ED">
            <w:pPr>
              <w:jc w:val="center"/>
              <w:rPr>
                <w:b/>
              </w:rPr>
            </w:pPr>
            <w:r w:rsidRPr="000D4182">
              <w:rPr>
                <w:b/>
              </w:rPr>
              <w:t>Status</w:t>
            </w:r>
          </w:p>
        </w:tc>
        <w:tc>
          <w:tcPr>
            <w:tcW w:w="1530" w:type="dxa"/>
          </w:tcPr>
          <w:p w:rsidR="00923744" w:rsidRPr="000D4182" w:rsidRDefault="002C43ED" w:rsidP="002C43ED">
            <w:pPr>
              <w:jc w:val="center"/>
              <w:rPr>
                <w:b/>
              </w:rPr>
            </w:pPr>
            <w:r w:rsidRPr="000D4182">
              <w:rPr>
                <w:b/>
              </w:rPr>
              <w:t>Neighborhood</w:t>
            </w:r>
          </w:p>
        </w:tc>
      </w:tr>
      <w:tr w:rsidR="000D4182" w:rsidTr="002C43ED">
        <w:trPr>
          <w:jc w:val="center"/>
        </w:trPr>
        <w:tc>
          <w:tcPr>
            <w:tcW w:w="646" w:type="dxa"/>
          </w:tcPr>
          <w:p w:rsidR="00923744" w:rsidRDefault="00737FAD" w:rsidP="000D4182">
            <w:pPr>
              <w:spacing w:after="120"/>
              <w:jc w:val="center"/>
            </w:pPr>
            <w:r>
              <w:t>192</w:t>
            </w:r>
          </w:p>
        </w:tc>
        <w:tc>
          <w:tcPr>
            <w:tcW w:w="722" w:type="dxa"/>
          </w:tcPr>
          <w:p w:rsidR="00923744" w:rsidRDefault="00923744" w:rsidP="000D4182">
            <w:pPr>
              <w:spacing w:after="120"/>
              <w:jc w:val="center"/>
            </w:pPr>
            <w:r>
              <w:t>4,925</w:t>
            </w:r>
          </w:p>
        </w:tc>
        <w:tc>
          <w:tcPr>
            <w:tcW w:w="1440" w:type="dxa"/>
          </w:tcPr>
          <w:p w:rsidR="00923744" w:rsidRDefault="00923744" w:rsidP="000D4182">
            <w:pPr>
              <w:spacing w:after="120"/>
              <w:jc w:val="center"/>
            </w:pPr>
            <w:r>
              <w:t>332000-0410</w:t>
            </w:r>
          </w:p>
        </w:tc>
        <w:tc>
          <w:tcPr>
            <w:tcW w:w="1620" w:type="dxa"/>
          </w:tcPr>
          <w:p w:rsidR="00923744" w:rsidRDefault="002C43ED" w:rsidP="000D4182">
            <w:pPr>
              <w:spacing w:after="120"/>
              <w:jc w:val="center"/>
            </w:pPr>
            <w:r>
              <w:t>NC3P-40</w:t>
            </w:r>
          </w:p>
        </w:tc>
        <w:tc>
          <w:tcPr>
            <w:tcW w:w="1080" w:type="dxa"/>
          </w:tcPr>
          <w:p w:rsidR="00923744" w:rsidRDefault="002C43ED" w:rsidP="000D4182">
            <w:pPr>
              <w:spacing w:after="120"/>
              <w:jc w:val="center"/>
            </w:pPr>
            <w:r>
              <w:t>Vacant</w:t>
            </w:r>
          </w:p>
        </w:tc>
        <w:tc>
          <w:tcPr>
            <w:tcW w:w="1530" w:type="dxa"/>
          </w:tcPr>
          <w:p w:rsidR="00923744" w:rsidRDefault="002C43ED" w:rsidP="000D4182">
            <w:pPr>
              <w:spacing w:after="120"/>
              <w:jc w:val="center"/>
            </w:pPr>
            <w:r>
              <w:t>Central Area</w:t>
            </w:r>
          </w:p>
        </w:tc>
      </w:tr>
    </w:tbl>
    <w:p w:rsidR="002C43ED" w:rsidRDefault="002C43ED" w:rsidP="000D4182">
      <w:pPr>
        <w:spacing w:after="120"/>
        <w:rPr>
          <w:b/>
        </w:rPr>
      </w:pPr>
    </w:p>
    <w:p w:rsidR="004C777A" w:rsidRDefault="004C777A" w:rsidP="002C43ED">
      <w:r w:rsidRPr="002C43ED">
        <w:rPr>
          <w:b/>
        </w:rPr>
        <w:t>Property Location:</w:t>
      </w:r>
      <w:r>
        <w:t xml:space="preserve"> Mid-block between 14</w:t>
      </w:r>
      <w:r w:rsidRPr="002C43ED">
        <w:rPr>
          <w:vertAlign w:val="superscript"/>
        </w:rPr>
        <w:t>th</w:t>
      </w:r>
      <w:r w:rsidR="00597B7D">
        <w:t xml:space="preserve"> and 16</w:t>
      </w:r>
      <w:r w:rsidRPr="002C43ED">
        <w:rPr>
          <w:vertAlign w:val="superscript"/>
        </w:rPr>
        <w:t>th</w:t>
      </w:r>
      <w:r>
        <w:t xml:space="preserve"> Avenue South</w:t>
      </w:r>
      <w:r w:rsidR="00597B7D">
        <w:t>,</w:t>
      </w:r>
      <w:r>
        <w:t xml:space="preserve"> on South Jackson Street, in Seattle, Washington.  </w:t>
      </w:r>
    </w:p>
    <w:p w:rsidR="004C777A" w:rsidRDefault="00923744" w:rsidP="002C43ED">
      <w:r w:rsidRPr="002C43ED">
        <w:rPr>
          <w:b/>
        </w:rPr>
        <w:t>Le</w:t>
      </w:r>
      <w:r w:rsidR="004C777A" w:rsidRPr="002C43ED">
        <w:rPr>
          <w:b/>
        </w:rPr>
        <w:t xml:space="preserve">gal Description: </w:t>
      </w:r>
      <w:r w:rsidR="004C777A" w:rsidRPr="00923744">
        <w:t xml:space="preserve">Lots 13 and 14, Block 26, HILL TRACT ADDITION TO THE CITY OF SEATTLE, SUPPLEMENTAL PLAT, according to the plat thereof recorded in Volume 11 of Plats, page 51, in King County, Washington. </w:t>
      </w:r>
    </w:p>
    <w:p w:rsidR="00B373B8" w:rsidRDefault="00B373B8" w:rsidP="00923744">
      <w:r w:rsidRPr="00F6791A">
        <w:rPr>
          <w:b/>
        </w:rPr>
        <w:t>History:</w:t>
      </w:r>
      <w:r>
        <w:t xml:space="preserve">  The property was purchased </w:t>
      </w:r>
      <w:r w:rsidR="005B78E7">
        <w:t xml:space="preserve">from Kadoshima, Harry et. al. by the Seattle Department of Community Development in 1973 with </w:t>
      </w:r>
      <w:r w:rsidR="000D4182">
        <w:t xml:space="preserve">federal funds </w:t>
      </w:r>
      <w:r>
        <w:t>in 1967</w:t>
      </w:r>
      <w:r w:rsidR="00945142">
        <w:t>, r</w:t>
      </w:r>
      <w:r w:rsidR="005B78E7">
        <w:t>ecording number 197308310164.</w:t>
      </w:r>
      <w:r>
        <w:t xml:space="preserve"> </w:t>
      </w:r>
    </w:p>
    <w:p w:rsidR="00E6216F" w:rsidRPr="00B1087F" w:rsidRDefault="00E6216F" w:rsidP="00E6216F">
      <w:r w:rsidRPr="00B1087F">
        <w:rPr>
          <w:b/>
        </w:rPr>
        <w:t>12/12/1991 Ordinance 119</w:t>
      </w:r>
      <w:r>
        <w:rPr>
          <w:b/>
        </w:rPr>
        <w:t>958</w:t>
      </w:r>
      <w:r w:rsidRPr="00B1087F">
        <w:rPr>
          <w:b/>
        </w:rPr>
        <w:t xml:space="preserve"> </w:t>
      </w:r>
      <w:r w:rsidRPr="00B1087F">
        <w:t>AN ORDINANCE reorganizing the Departments of Community Development and H</w:t>
      </w:r>
      <w:r>
        <w:t>uman Services and Neighborhoods;</w:t>
      </w:r>
      <w:r w:rsidRPr="00B1087F">
        <w:t xml:space="preserve"> </w:t>
      </w:r>
      <w:r>
        <w:t>renaming</w:t>
      </w:r>
      <w:r w:rsidRPr="00B1087F">
        <w:t xml:space="preserve"> Department of Human Services</w:t>
      </w:r>
      <w:r>
        <w:t xml:space="preserve"> the Department of Housing and Human Services; establishing</w:t>
      </w:r>
      <w:r w:rsidRPr="00B1087F">
        <w:t xml:space="preserve"> a temporary Economic Development</w:t>
      </w:r>
      <w:r>
        <w:t xml:space="preserve"> department</w:t>
      </w:r>
      <w:r w:rsidRPr="00B1087F">
        <w:t>.</w:t>
      </w:r>
    </w:p>
    <w:p w:rsidR="00E6216F" w:rsidRPr="00B1087F" w:rsidRDefault="00E6216F" w:rsidP="00E6216F">
      <w:pPr>
        <w:rPr>
          <w:b/>
        </w:rPr>
      </w:pPr>
      <w:r w:rsidRPr="00B1087F">
        <w:rPr>
          <w:b/>
        </w:rPr>
        <w:t xml:space="preserve">12/1/1992 Ordinance 116457 </w:t>
      </w:r>
      <w:r w:rsidRPr="00B1087F">
        <w:t>AN ORDINANCE creating an Office of Economic Development.</w:t>
      </w:r>
    </w:p>
    <w:p w:rsidR="00E6216F" w:rsidRPr="00B1087F" w:rsidRDefault="00E6216F" w:rsidP="00E6216F">
      <w:r w:rsidRPr="00B1087F">
        <w:rPr>
          <w:b/>
        </w:rPr>
        <w:t>4/23/1999</w:t>
      </w:r>
      <w:r w:rsidRPr="00B1087F">
        <w:t xml:space="preserve"> </w:t>
      </w:r>
      <w:r w:rsidRPr="00B1087F">
        <w:rPr>
          <w:b/>
        </w:rPr>
        <w:t xml:space="preserve">Ordinance 119440 </w:t>
      </w:r>
      <w:r w:rsidRPr="00B1087F">
        <w:t xml:space="preserve">AN ORDINANCE pertaining to the management of City-owned property, transferring control of City property in the </w:t>
      </w:r>
      <w:proofErr w:type="spellStart"/>
      <w:r w:rsidRPr="00B1087F">
        <w:t>Yesler</w:t>
      </w:r>
      <w:proofErr w:type="spellEnd"/>
      <w:r w:rsidRPr="00B1087F">
        <w:t>-Atlantic and Dearborn-Hiawatha redevelopment projects from the Department of Neighborhoods to the Office of Housing.</w:t>
      </w:r>
    </w:p>
    <w:p w:rsidR="00E6216F" w:rsidRPr="00B1087F" w:rsidRDefault="00E6216F" w:rsidP="00E6216F">
      <w:r w:rsidRPr="00B1087F">
        <w:rPr>
          <w:b/>
        </w:rPr>
        <w:t>1/2</w:t>
      </w:r>
      <w:r>
        <w:rPr>
          <w:b/>
        </w:rPr>
        <w:t>3</w:t>
      </w:r>
      <w:r w:rsidRPr="00B1087F">
        <w:rPr>
          <w:b/>
        </w:rPr>
        <w:t>/2006 Ordinance</w:t>
      </w:r>
      <w:r w:rsidRPr="00B1087F">
        <w:t xml:space="preserve"> </w:t>
      </w:r>
      <w:r w:rsidRPr="00B1087F">
        <w:rPr>
          <w:b/>
        </w:rPr>
        <w:t>122017</w:t>
      </w:r>
      <w:r w:rsidRPr="00B1087F">
        <w:t xml:space="preserve"> AN ORDINANCE authorizing the Director of the Office of Housing to dispose of the </w:t>
      </w:r>
      <w:proofErr w:type="spellStart"/>
      <w:r>
        <w:t>Yesler</w:t>
      </w:r>
      <w:proofErr w:type="spellEnd"/>
      <w:r>
        <w:t xml:space="preserve">-Atlantic </w:t>
      </w:r>
      <w:r w:rsidRPr="00B1087F">
        <w:t>properties through</w:t>
      </w:r>
      <w:r>
        <w:t xml:space="preserve"> a </w:t>
      </w:r>
      <w:r w:rsidRPr="00B1087F">
        <w:t>competitive proce</w:t>
      </w:r>
      <w:r>
        <w:t>ss,</w:t>
      </w:r>
      <w:r w:rsidRPr="00B1087F">
        <w:t xml:space="preserve"> with the sale proceeds to be deposited in the Urban Renewal Closeout Account of the Housing and Community Development Revenue Sharing Fund (17810).</w:t>
      </w:r>
    </w:p>
    <w:p w:rsidR="00E12DB8" w:rsidRDefault="00E12DB8" w:rsidP="00923744">
      <w:bookmarkStart w:id="0" w:name="_GoBack"/>
      <w:bookmarkEnd w:id="0"/>
      <w:r w:rsidRPr="00F6791A">
        <w:rPr>
          <w:b/>
        </w:rPr>
        <w:t>Acquisition Fund Source:</w:t>
      </w:r>
      <w:r>
        <w:t xml:space="preserve"> CDBG</w:t>
      </w:r>
    </w:p>
    <w:p w:rsidR="00737FAD" w:rsidRDefault="00E12DB8" w:rsidP="00923744">
      <w:r w:rsidRPr="00F6791A">
        <w:rPr>
          <w:b/>
        </w:rPr>
        <w:t>Development Issues</w:t>
      </w:r>
      <w:r>
        <w:t xml:space="preserve">:  </w:t>
      </w:r>
      <w:r w:rsidR="00737FAD">
        <w:t>none known</w:t>
      </w:r>
    </w:p>
    <w:p w:rsidR="00F6791A" w:rsidRPr="00F6791A" w:rsidRDefault="00F6791A" w:rsidP="00923744">
      <w:pPr>
        <w:rPr>
          <w:b/>
        </w:rPr>
      </w:pPr>
      <w:r w:rsidRPr="00F6791A">
        <w:rPr>
          <w:b/>
        </w:rPr>
        <w:t xml:space="preserve">Current easements, covenants and restrictions: </w:t>
      </w:r>
      <w:r w:rsidRPr="00F6791A">
        <w:t>none known</w:t>
      </w:r>
    </w:p>
    <w:p w:rsidR="00F6791A" w:rsidRDefault="00F6791A" w:rsidP="00923744">
      <w:r w:rsidRPr="00F6791A">
        <w:rPr>
          <w:b/>
        </w:rPr>
        <w:t>Recommended easements, covenants and restrictions upon Transfer:</w:t>
      </w:r>
      <w:r>
        <w:t xml:space="preserve"> none</w:t>
      </w:r>
    </w:p>
    <w:p w:rsidR="00F6791A" w:rsidRDefault="00F6791A" w:rsidP="00923744">
      <w:r w:rsidRPr="000D4182">
        <w:rPr>
          <w:b/>
        </w:rPr>
        <w:t>Current King County Assessed Value</w:t>
      </w:r>
      <w:r>
        <w:t xml:space="preserve">: Change to state law (RCW 84.40.045 and 84.40.175) by the 2013 Legislature eliminated revaluation of government owned parcels. </w:t>
      </w:r>
    </w:p>
    <w:p w:rsidR="00F6791A" w:rsidRPr="00923744" w:rsidRDefault="00F6791A" w:rsidP="00923744"/>
    <w:sectPr w:rsidR="00F6791A" w:rsidRPr="00923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E4A5F"/>
    <w:multiLevelType w:val="hybridMultilevel"/>
    <w:tmpl w:val="B2DE9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7A"/>
    <w:rsid w:val="000D4182"/>
    <w:rsid w:val="002C43ED"/>
    <w:rsid w:val="003B573E"/>
    <w:rsid w:val="004C777A"/>
    <w:rsid w:val="00597B7D"/>
    <w:rsid w:val="005B78E7"/>
    <w:rsid w:val="00650DD0"/>
    <w:rsid w:val="00737FAD"/>
    <w:rsid w:val="00923744"/>
    <w:rsid w:val="00945142"/>
    <w:rsid w:val="00B257FA"/>
    <w:rsid w:val="00B373B8"/>
    <w:rsid w:val="00BE3440"/>
    <w:rsid w:val="00E12DB8"/>
    <w:rsid w:val="00E56281"/>
    <w:rsid w:val="00E6216F"/>
    <w:rsid w:val="00F2213D"/>
    <w:rsid w:val="00F6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54F2"/>
  <w15:chartTrackingRefBased/>
  <w15:docId w15:val="{62E0D83F-E2D2-426C-8D9B-EA3ED16E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7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43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77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7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C777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C777A"/>
    <w:pPr>
      <w:ind w:left="720"/>
      <w:contextualSpacing/>
    </w:pPr>
  </w:style>
  <w:style w:type="table" w:styleId="TableGrid">
    <w:name w:val="Table Grid"/>
    <w:basedOn w:val="TableNormal"/>
    <w:uiPriority w:val="59"/>
    <w:rsid w:val="0092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43E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E6BE-2441-48E8-A261-5D798B68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Korathu, Prithy</dc:creator>
  <cp:keywords/>
  <dc:description/>
  <cp:lastModifiedBy>Kent, Mike</cp:lastModifiedBy>
  <cp:revision>2</cp:revision>
  <dcterms:created xsi:type="dcterms:W3CDTF">2016-08-19T22:36:00Z</dcterms:created>
  <dcterms:modified xsi:type="dcterms:W3CDTF">2016-08-19T22:36:00Z</dcterms:modified>
</cp:coreProperties>
</file>